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B7" w:rsidRDefault="00993DB7" w:rsidP="00993DB7">
      <w:pPr>
        <w:jc w:val="center"/>
        <w:rPr>
          <w:rFonts w:ascii="Times New Roman" w:hAnsi="Times New Roman" w:cs="Times New Roman"/>
          <w:b/>
          <w:color w:val="0000FF"/>
          <w:sz w:val="36"/>
          <w:szCs w:val="36"/>
        </w:rPr>
      </w:pPr>
      <w:r w:rsidRPr="007057B6">
        <w:rPr>
          <w:rFonts w:ascii="Times New Roman" w:hAnsi="Times New Roman" w:cs="Times New Roman"/>
          <w:b/>
          <w:color w:val="0000FF"/>
          <w:sz w:val="36"/>
          <w:szCs w:val="36"/>
        </w:rPr>
        <w:t>T4C: Via Accademia Albertina 13</w:t>
      </w:r>
      <w:r>
        <w:rPr>
          <w:rFonts w:ascii="Times New Roman" w:hAnsi="Times New Roman" w:cs="Times New Roman"/>
          <w:b/>
          <w:color w:val="0000FF"/>
          <w:sz w:val="36"/>
          <w:szCs w:val="36"/>
        </w:rPr>
        <w:t xml:space="preserve">, </w:t>
      </w:r>
      <w:r w:rsidRPr="007057B6">
        <w:rPr>
          <w:rFonts w:ascii="Times New Roman" w:hAnsi="Times New Roman" w:cs="Times New Roman"/>
          <w:b/>
          <w:color w:val="0000FF"/>
          <w:sz w:val="36"/>
          <w:szCs w:val="36"/>
        </w:rPr>
        <w:t xml:space="preserve">AULA B </w:t>
      </w:r>
    </w:p>
    <w:p w:rsidR="00993DB7" w:rsidRPr="007C2A98" w:rsidRDefault="00993DB7" w:rsidP="00993DB7">
      <w:pPr>
        <w:jc w:val="center"/>
        <w:rPr>
          <w:rFonts w:ascii="Times New Roman" w:hAnsi="Times New Roman" w:cs="Times New Roman"/>
          <w:b/>
          <w:color w:val="C00000"/>
          <w:sz w:val="36"/>
          <w:szCs w:val="36"/>
          <w:lang w:val="en-US"/>
        </w:rPr>
      </w:pPr>
      <w:r w:rsidRPr="007C2A98">
        <w:rPr>
          <w:rFonts w:ascii="Times New Roman" w:hAnsi="Times New Roman" w:cs="Times New Roman"/>
          <w:b/>
          <w:color w:val="C00000"/>
          <w:sz w:val="36"/>
          <w:szCs w:val="36"/>
          <w:lang w:val="en-US"/>
        </w:rPr>
        <w:t>28-03-2019 h. 14-18.</w:t>
      </w:r>
    </w:p>
    <w:p w:rsidR="00993DB7" w:rsidRPr="007C2A98" w:rsidRDefault="00993DB7" w:rsidP="00993DB7">
      <w:pPr>
        <w:jc w:val="center"/>
        <w:rPr>
          <w:rFonts w:ascii="Times New Roman" w:hAnsi="Times New Roman" w:cs="Times New Roman"/>
          <w:b/>
          <w:color w:val="0000FF"/>
          <w:sz w:val="36"/>
          <w:szCs w:val="36"/>
          <w:lang w:val="en-US"/>
        </w:rPr>
      </w:pPr>
      <w:r w:rsidRPr="007C2A98">
        <w:rPr>
          <w:rFonts w:ascii="Times New Roman" w:hAnsi="Times New Roman" w:cs="Times New Roman"/>
          <w:b/>
          <w:color w:val="0000FF"/>
          <w:sz w:val="36"/>
          <w:szCs w:val="36"/>
          <w:lang w:val="en-US"/>
        </w:rPr>
        <w:t>.</w:t>
      </w:r>
    </w:p>
    <w:p w:rsidR="00993DB7" w:rsidRPr="007C2A98" w:rsidRDefault="00993DB7" w:rsidP="00993DB7">
      <w:pPr>
        <w:jc w:val="both"/>
        <w:rPr>
          <w:rFonts w:ascii="Times New Roman" w:hAnsi="Times New Roman" w:cs="Times New Roman"/>
          <w:b/>
          <w:color w:val="C00000"/>
          <w:sz w:val="28"/>
          <w:szCs w:val="28"/>
          <w:lang w:val="en-US"/>
        </w:rPr>
      </w:pPr>
    </w:p>
    <w:p w:rsidR="00993DB7" w:rsidRPr="00206F2D" w:rsidRDefault="00993DB7" w:rsidP="00993DB7">
      <w:pPr>
        <w:jc w:val="both"/>
        <w:rPr>
          <w:rFonts w:ascii="Times New Roman" w:hAnsi="Times New Roman" w:cs="Times New Roman"/>
          <w:sz w:val="28"/>
          <w:szCs w:val="28"/>
          <w:lang w:val="en-US"/>
        </w:rPr>
      </w:pPr>
      <w:r w:rsidRPr="007C2A98">
        <w:rPr>
          <w:rFonts w:ascii="Times New Roman" w:hAnsi="Times New Roman" w:cs="Times New Roman"/>
          <w:b/>
          <w:color w:val="C00000"/>
          <w:sz w:val="28"/>
          <w:szCs w:val="28"/>
          <w:lang w:val="en-US"/>
        </w:rPr>
        <w:t xml:space="preserve">14-16. </w:t>
      </w:r>
      <w:r w:rsidRPr="00206F2D">
        <w:rPr>
          <w:rFonts w:ascii="Times New Roman" w:hAnsi="Times New Roman" w:cs="Times New Roman"/>
          <w:b/>
          <w:color w:val="C00000"/>
          <w:sz w:val="28"/>
          <w:szCs w:val="28"/>
          <w:lang w:val="en-US"/>
        </w:rPr>
        <w:t>Enrica Pessione</w:t>
      </w:r>
      <w:r w:rsidRPr="00206F2D">
        <w:rPr>
          <w:rFonts w:ascii="Times New Roman" w:hAnsi="Times New Roman" w:cs="Times New Roman"/>
          <w:sz w:val="28"/>
          <w:szCs w:val="28"/>
          <w:lang w:val="en-US"/>
        </w:rPr>
        <w:t xml:space="preserve">: </w:t>
      </w:r>
      <w:r w:rsidRPr="00206F2D">
        <w:rPr>
          <w:rFonts w:ascii="Times New Roman" w:hAnsi="Times New Roman" w:cs="Times New Roman"/>
          <w:b/>
          <w:sz w:val="28"/>
          <w:szCs w:val="28"/>
          <w:lang w:val="en-US"/>
        </w:rPr>
        <w:t xml:space="preserve">Microbial </w:t>
      </w:r>
      <w:proofErr w:type="spellStart"/>
      <w:r w:rsidRPr="00206F2D">
        <w:rPr>
          <w:rFonts w:ascii="Times New Roman" w:hAnsi="Times New Roman" w:cs="Times New Roman"/>
          <w:b/>
          <w:sz w:val="28"/>
          <w:szCs w:val="28"/>
          <w:lang w:val="en-US"/>
        </w:rPr>
        <w:t>biodeterioration</w:t>
      </w:r>
      <w:proofErr w:type="spellEnd"/>
      <w:r w:rsidRPr="00206F2D">
        <w:rPr>
          <w:rFonts w:ascii="Times New Roman" w:hAnsi="Times New Roman" w:cs="Times New Roman"/>
          <w:b/>
          <w:sz w:val="28"/>
          <w:szCs w:val="28"/>
          <w:lang w:val="en-US"/>
        </w:rPr>
        <w:t xml:space="preserve"> of archeological and historical artefacts: biochemical aspects.</w:t>
      </w:r>
    </w:p>
    <w:p w:rsidR="00993DB7" w:rsidRPr="00206F2D" w:rsidRDefault="00993DB7" w:rsidP="00993DB7">
      <w:pPr>
        <w:jc w:val="both"/>
        <w:rPr>
          <w:rFonts w:ascii="Times New Roman" w:hAnsi="Times New Roman" w:cs="Times New Roman"/>
          <w:sz w:val="24"/>
          <w:szCs w:val="24"/>
          <w:lang w:val="en-US"/>
        </w:rPr>
      </w:pPr>
      <w:r w:rsidRPr="00206F2D">
        <w:rPr>
          <w:rFonts w:ascii="Times New Roman" w:hAnsi="Times New Roman" w:cs="Times New Roman"/>
          <w:sz w:val="24"/>
          <w:szCs w:val="24"/>
          <w:lang w:val="en-US"/>
        </w:rPr>
        <w:t>Microbial deterioration accounts for a significant percentage of the degradation processes that occur on archeological/historical objects and artworks, and identifying the causative agents and their metabolic pathways should be a priority, in consideration of the need to conserve these important cultural heritage items.</w:t>
      </w:r>
    </w:p>
    <w:p w:rsidR="00993DB7" w:rsidRPr="00206F2D" w:rsidRDefault="00993DB7" w:rsidP="00993DB7">
      <w:pPr>
        <w:jc w:val="both"/>
        <w:rPr>
          <w:rFonts w:ascii="Times New Roman" w:hAnsi="Times New Roman" w:cs="Times New Roman"/>
          <w:sz w:val="24"/>
          <w:szCs w:val="24"/>
          <w:lang w:val="en-US"/>
        </w:rPr>
      </w:pPr>
      <w:r w:rsidRPr="00206F2D">
        <w:rPr>
          <w:rFonts w:ascii="Times New Roman" w:hAnsi="Times New Roman" w:cs="Times New Roman"/>
          <w:sz w:val="24"/>
          <w:szCs w:val="24"/>
          <w:lang w:val="en-US"/>
        </w:rPr>
        <w:t xml:space="preserve">The two seminars will illustrate the biochemical aspects of the interactions occurring between microorganisms and nutrients that are present in stones, wood, paper, textiles, films, paintings and modern art specimens (namely, collagen, cellulose, gelatin, albumin, lipids and hydrocarbons). Some examples, highlighting that a good knowledge of these interactions is essential to in-depth understanding the factors that favor colonization, </w:t>
      </w:r>
      <w:proofErr w:type="gramStart"/>
      <w:r w:rsidRPr="00206F2D">
        <w:rPr>
          <w:rFonts w:ascii="Times New Roman" w:hAnsi="Times New Roman" w:cs="Times New Roman"/>
          <w:sz w:val="24"/>
          <w:szCs w:val="24"/>
          <w:lang w:val="en-US"/>
        </w:rPr>
        <w:t>will be discussed</w:t>
      </w:r>
      <w:proofErr w:type="gramEnd"/>
      <w:r w:rsidRPr="00206F2D">
        <w:rPr>
          <w:rFonts w:ascii="Times New Roman" w:hAnsi="Times New Roman" w:cs="Times New Roman"/>
          <w:sz w:val="24"/>
          <w:szCs w:val="24"/>
          <w:lang w:val="en-US"/>
        </w:rPr>
        <w:t>.</w:t>
      </w:r>
    </w:p>
    <w:p w:rsidR="00993DB7" w:rsidRPr="00206F2D" w:rsidRDefault="00993DB7" w:rsidP="00993DB7">
      <w:pPr>
        <w:jc w:val="both"/>
        <w:rPr>
          <w:rFonts w:ascii="Times New Roman" w:hAnsi="Times New Roman" w:cs="Times New Roman"/>
          <w:sz w:val="24"/>
          <w:szCs w:val="24"/>
          <w:lang w:val="en-US"/>
        </w:rPr>
      </w:pPr>
      <w:r w:rsidRPr="00206F2D">
        <w:rPr>
          <w:rFonts w:ascii="Times New Roman" w:hAnsi="Times New Roman" w:cs="Times New Roman"/>
          <w:i/>
          <w:sz w:val="24"/>
          <w:szCs w:val="24"/>
          <w:lang w:val="en-US"/>
        </w:rPr>
        <w:t xml:space="preserve">Part 2: </w:t>
      </w:r>
      <w:proofErr w:type="spellStart"/>
      <w:r w:rsidRPr="00206F2D">
        <w:rPr>
          <w:rFonts w:ascii="Times New Roman" w:hAnsi="Times New Roman" w:cs="Times New Roman"/>
          <w:sz w:val="24"/>
          <w:szCs w:val="24"/>
          <w:lang w:val="en-US"/>
        </w:rPr>
        <w:t>Biodeterioration</w:t>
      </w:r>
      <w:proofErr w:type="spellEnd"/>
      <w:r w:rsidRPr="00206F2D">
        <w:rPr>
          <w:rFonts w:ascii="Times New Roman" w:hAnsi="Times New Roman" w:cs="Times New Roman"/>
          <w:i/>
          <w:sz w:val="24"/>
          <w:szCs w:val="24"/>
          <w:lang w:val="en-US"/>
        </w:rPr>
        <w:t xml:space="preserve"> </w:t>
      </w:r>
      <w:r w:rsidRPr="00206F2D">
        <w:rPr>
          <w:rFonts w:ascii="Times New Roman" w:hAnsi="Times New Roman" w:cs="Times New Roman"/>
          <w:sz w:val="24"/>
          <w:szCs w:val="24"/>
          <w:lang w:val="en-US"/>
        </w:rPr>
        <w:t>of</w:t>
      </w:r>
      <w:r w:rsidRPr="00206F2D">
        <w:rPr>
          <w:rFonts w:ascii="Times New Roman" w:hAnsi="Times New Roman" w:cs="Times New Roman"/>
          <w:i/>
          <w:sz w:val="24"/>
          <w:szCs w:val="24"/>
          <w:lang w:val="en-US"/>
        </w:rPr>
        <w:t xml:space="preserve"> </w:t>
      </w:r>
      <w:r w:rsidRPr="00206F2D">
        <w:rPr>
          <w:rFonts w:ascii="Times New Roman" w:hAnsi="Times New Roman" w:cs="Times New Roman"/>
          <w:sz w:val="24"/>
          <w:szCs w:val="24"/>
          <w:lang w:val="en-US"/>
        </w:rPr>
        <w:t xml:space="preserve">stone material: the contribution of autotrophic organisms and </w:t>
      </w:r>
      <w:proofErr w:type="gramStart"/>
      <w:r w:rsidRPr="00206F2D">
        <w:rPr>
          <w:rFonts w:ascii="Times New Roman" w:hAnsi="Times New Roman" w:cs="Times New Roman"/>
          <w:sz w:val="24"/>
          <w:szCs w:val="24"/>
          <w:lang w:val="en-US"/>
        </w:rPr>
        <w:t>syntrophic</w:t>
      </w:r>
      <w:proofErr w:type="gramEnd"/>
      <w:r w:rsidRPr="00206F2D">
        <w:rPr>
          <w:rFonts w:ascii="Times New Roman" w:hAnsi="Times New Roman" w:cs="Times New Roman"/>
          <w:sz w:val="24"/>
          <w:szCs w:val="24"/>
          <w:lang w:val="en-US"/>
        </w:rPr>
        <w:t xml:space="preserve"> chains. Painting </w:t>
      </w:r>
      <w:proofErr w:type="spellStart"/>
      <w:r w:rsidRPr="00206F2D">
        <w:rPr>
          <w:rFonts w:ascii="Times New Roman" w:hAnsi="Times New Roman" w:cs="Times New Roman"/>
          <w:sz w:val="24"/>
          <w:szCs w:val="24"/>
          <w:lang w:val="en-US"/>
        </w:rPr>
        <w:t>biodeteriogens</w:t>
      </w:r>
      <w:proofErr w:type="spellEnd"/>
      <w:r w:rsidRPr="00206F2D">
        <w:rPr>
          <w:rFonts w:ascii="Times New Roman" w:hAnsi="Times New Roman" w:cs="Times New Roman"/>
          <w:sz w:val="24"/>
          <w:szCs w:val="24"/>
          <w:lang w:val="en-US"/>
        </w:rPr>
        <w:t xml:space="preserve">: </w:t>
      </w:r>
      <w:proofErr w:type="spellStart"/>
      <w:r w:rsidRPr="00206F2D">
        <w:rPr>
          <w:rFonts w:ascii="Times New Roman" w:hAnsi="Times New Roman" w:cs="Times New Roman"/>
          <w:sz w:val="24"/>
          <w:szCs w:val="24"/>
          <w:lang w:val="en-US"/>
        </w:rPr>
        <w:t>lipolytic</w:t>
      </w:r>
      <w:proofErr w:type="spellEnd"/>
      <w:r w:rsidRPr="00206F2D">
        <w:rPr>
          <w:rFonts w:ascii="Times New Roman" w:hAnsi="Times New Roman" w:cs="Times New Roman"/>
          <w:sz w:val="24"/>
          <w:szCs w:val="24"/>
          <w:lang w:val="en-US"/>
        </w:rPr>
        <w:t xml:space="preserve">, </w:t>
      </w:r>
      <w:proofErr w:type="spellStart"/>
      <w:r w:rsidRPr="00206F2D">
        <w:rPr>
          <w:rFonts w:ascii="Times New Roman" w:hAnsi="Times New Roman" w:cs="Times New Roman"/>
          <w:sz w:val="24"/>
          <w:szCs w:val="24"/>
          <w:lang w:val="en-US"/>
        </w:rPr>
        <w:t>amylolytic</w:t>
      </w:r>
      <w:proofErr w:type="spellEnd"/>
      <w:r w:rsidRPr="00206F2D">
        <w:rPr>
          <w:rFonts w:ascii="Times New Roman" w:hAnsi="Times New Roman" w:cs="Times New Roman"/>
          <w:sz w:val="24"/>
          <w:szCs w:val="24"/>
          <w:lang w:val="en-US"/>
        </w:rPr>
        <w:t xml:space="preserve">, proteolytic, </w:t>
      </w:r>
      <w:proofErr w:type="spellStart"/>
      <w:r w:rsidRPr="00206F2D">
        <w:rPr>
          <w:rFonts w:ascii="Times New Roman" w:hAnsi="Times New Roman" w:cs="Times New Roman"/>
          <w:sz w:val="24"/>
          <w:szCs w:val="24"/>
          <w:lang w:val="en-US"/>
        </w:rPr>
        <w:t>solventogenic</w:t>
      </w:r>
      <w:proofErr w:type="spellEnd"/>
      <w:r w:rsidRPr="00206F2D">
        <w:rPr>
          <w:rFonts w:ascii="Times New Roman" w:hAnsi="Times New Roman" w:cs="Times New Roman"/>
          <w:sz w:val="24"/>
          <w:szCs w:val="24"/>
          <w:lang w:val="en-US"/>
        </w:rPr>
        <w:t xml:space="preserve">, </w:t>
      </w:r>
      <w:proofErr w:type="spellStart"/>
      <w:r w:rsidRPr="00206F2D">
        <w:rPr>
          <w:rFonts w:ascii="Times New Roman" w:hAnsi="Times New Roman" w:cs="Times New Roman"/>
          <w:sz w:val="24"/>
          <w:szCs w:val="24"/>
          <w:lang w:val="en-US"/>
        </w:rPr>
        <w:t>acidogenic</w:t>
      </w:r>
      <w:proofErr w:type="spellEnd"/>
      <w:r w:rsidRPr="00206F2D">
        <w:rPr>
          <w:rFonts w:ascii="Times New Roman" w:hAnsi="Times New Roman" w:cs="Times New Roman"/>
          <w:sz w:val="24"/>
          <w:szCs w:val="24"/>
          <w:lang w:val="en-US"/>
        </w:rPr>
        <w:t xml:space="preserve"> and pigment-producing microorganisms. Motion picture films and photographic material </w:t>
      </w:r>
      <w:proofErr w:type="spellStart"/>
      <w:r w:rsidRPr="00206F2D">
        <w:rPr>
          <w:rFonts w:ascii="Times New Roman" w:hAnsi="Times New Roman" w:cs="Times New Roman"/>
          <w:sz w:val="24"/>
          <w:szCs w:val="24"/>
          <w:lang w:val="en-US"/>
        </w:rPr>
        <w:t>biodeterioration</w:t>
      </w:r>
      <w:proofErr w:type="spellEnd"/>
      <w:r w:rsidRPr="00206F2D">
        <w:rPr>
          <w:rFonts w:ascii="Times New Roman" w:hAnsi="Times New Roman" w:cs="Times New Roman"/>
          <w:sz w:val="24"/>
          <w:szCs w:val="24"/>
          <w:lang w:val="en-US"/>
        </w:rPr>
        <w:t xml:space="preserve">: the contribution of </w:t>
      </w:r>
      <w:proofErr w:type="spellStart"/>
      <w:r w:rsidRPr="00206F2D">
        <w:rPr>
          <w:rFonts w:ascii="Times New Roman" w:hAnsi="Times New Roman" w:cs="Times New Roman"/>
          <w:sz w:val="24"/>
          <w:szCs w:val="24"/>
          <w:lang w:val="en-US"/>
        </w:rPr>
        <w:t>gelatine</w:t>
      </w:r>
      <w:proofErr w:type="spellEnd"/>
      <w:r w:rsidRPr="00206F2D">
        <w:rPr>
          <w:rFonts w:ascii="Times New Roman" w:hAnsi="Times New Roman" w:cs="Times New Roman"/>
          <w:sz w:val="24"/>
          <w:szCs w:val="24"/>
          <w:lang w:val="en-US"/>
        </w:rPr>
        <w:t xml:space="preserve"> liquefiers. Synthetic polymer-based modern artworks and human history proofs: the risk of xenobiotic-degraders.</w:t>
      </w:r>
    </w:p>
    <w:p w:rsidR="00993DB7" w:rsidRPr="004D342D" w:rsidRDefault="00993DB7" w:rsidP="00712991">
      <w:pPr>
        <w:spacing w:after="0" w:line="240" w:lineRule="auto"/>
        <w:jc w:val="both"/>
        <w:rPr>
          <w:rFonts w:ascii="Times New Roman" w:eastAsia="Times New Roman" w:hAnsi="Times New Roman" w:cs="Times New Roman"/>
          <w:sz w:val="28"/>
          <w:szCs w:val="28"/>
          <w:lang w:val="en-US" w:eastAsia="it-IT"/>
        </w:rPr>
      </w:pPr>
      <w:bookmarkStart w:id="0" w:name="_GoBack"/>
      <w:r w:rsidRPr="00206F2D">
        <w:rPr>
          <w:rFonts w:ascii="Times New Roman" w:eastAsia="Times New Roman" w:hAnsi="Times New Roman" w:cs="Times New Roman"/>
          <w:b/>
          <w:color w:val="C00000"/>
          <w:sz w:val="28"/>
          <w:szCs w:val="28"/>
          <w:lang w:val="en-US" w:eastAsia="it-IT"/>
        </w:rPr>
        <w:t xml:space="preserve">16-18 </w:t>
      </w:r>
      <w:r w:rsidRPr="004D342D">
        <w:rPr>
          <w:rFonts w:ascii="Times New Roman" w:eastAsia="Times New Roman" w:hAnsi="Times New Roman" w:cs="Times New Roman"/>
          <w:b/>
          <w:color w:val="C00000"/>
          <w:sz w:val="28"/>
          <w:szCs w:val="28"/>
          <w:lang w:val="en-US" w:eastAsia="it-IT"/>
        </w:rPr>
        <w:t xml:space="preserve">Mariangela </w:t>
      </w:r>
      <w:proofErr w:type="spellStart"/>
      <w:r w:rsidRPr="004D342D">
        <w:rPr>
          <w:rFonts w:ascii="Times New Roman" w:eastAsia="Times New Roman" w:hAnsi="Times New Roman" w:cs="Times New Roman"/>
          <w:b/>
          <w:color w:val="C00000"/>
          <w:sz w:val="28"/>
          <w:szCs w:val="28"/>
          <w:lang w:val="en-US" w:eastAsia="it-IT"/>
        </w:rPr>
        <w:t>Girlanda</w:t>
      </w:r>
      <w:proofErr w:type="spellEnd"/>
      <w:r w:rsidRPr="00206F2D">
        <w:rPr>
          <w:rFonts w:ascii="Times New Roman" w:eastAsia="Times New Roman" w:hAnsi="Times New Roman" w:cs="Times New Roman"/>
          <w:b/>
          <w:color w:val="C00000"/>
          <w:sz w:val="28"/>
          <w:szCs w:val="28"/>
          <w:lang w:val="en-US" w:eastAsia="it-IT"/>
        </w:rPr>
        <w:t xml:space="preserve"> and </w:t>
      </w:r>
      <w:proofErr w:type="spellStart"/>
      <w:r w:rsidRPr="00206F2D">
        <w:rPr>
          <w:rFonts w:ascii="Times New Roman" w:eastAsia="Times New Roman" w:hAnsi="Times New Roman" w:cs="Times New Roman"/>
          <w:b/>
          <w:color w:val="C00000"/>
          <w:sz w:val="28"/>
          <w:szCs w:val="28"/>
          <w:lang w:val="en-US" w:eastAsia="it-IT"/>
        </w:rPr>
        <w:t>Samuele</w:t>
      </w:r>
      <w:proofErr w:type="spellEnd"/>
      <w:r w:rsidRPr="00206F2D">
        <w:rPr>
          <w:rFonts w:ascii="Times New Roman" w:eastAsia="Times New Roman" w:hAnsi="Times New Roman" w:cs="Times New Roman"/>
          <w:b/>
          <w:color w:val="C00000"/>
          <w:sz w:val="28"/>
          <w:szCs w:val="28"/>
          <w:lang w:val="en-US" w:eastAsia="it-IT"/>
        </w:rPr>
        <w:t xml:space="preserve"> </w:t>
      </w:r>
      <w:proofErr w:type="spellStart"/>
      <w:r w:rsidRPr="00206F2D">
        <w:rPr>
          <w:rFonts w:ascii="Times New Roman" w:eastAsia="Times New Roman" w:hAnsi="Times New Roman" w:cs="Times New Roman"/>
          <w:b/>
          <w:color w:val="C00000"/>
          <w:sz w:val="28"/>
          <w:szCs w:val="28"/>
          <w:lang w:val="en-US" w:eastAsia="it-IT"/>
        </w:rPr>
        <w:t>Voyron</w:t>
      </w:r>
      <w:proofErr w:type="spellEnd"/>
      <w:r w:rsidRPr="00206F2D">
        <w:rPr>
          <w:rFonts w:ascii="Times New Roman" w:eastAsia="Times New Roman" w:hAnsi="Times New Roman" w:cs="Times New Roman"/>
          <w:sz w:val="28"/>
          <w:szCs w:val="28"/>
          <w:lang w:val="en-US" w:eastAsia="it-IT"/>
        </w:rPr>
        <w:t xml:space="preserve">: </w:t>
      </w:r>
      <w:r w:rsidRPr="004D342D">
        <w:rPr>
          <w:rFonts w:ascii="Times New Roman" w:eastAsia="Times New Roman" w:hAnsi="Times New Roman" w:cs="Times New Roman"/>
          <w:b/>
          <w:bCs/>
          <w:color w:val="000000"/>
          <w:sz w:val="28"/>
          <w:szCs w:val="28"/>
          <w:lang w:val="en-US" w:eastAsia="it-IT"/>
        </w:rPr>
        <w:t>Omics a</w:t>
      </w:r>
      <w:r w:rsidRPr="00206F2D">
        <w:rPr>
          <w:rFonts w:ascii="Times New Roman" w:eastAsia="Times New Roman" w:hAnsi="Times New Roman" w:cs="Times New Roman"/>
          <w:b/>
          <w:bCs/>
          <w:color w:val="000000"/>
          <w:sz w:val="28"/>
          <w:szCs w:val="28"/>
          <w:lang w:val="en-US" w:eastAsia="it-IT"/>
        </w:rPr>
        <w:t xml:space="preserve">pproaches as tools for cultural </w:t>
      </w:r>
      <w:r w:rsidRPr="004D342D">
        <w:rPr>
          <w:rFonts w:ascii="Times New Roman" w:eastAsia="Times New Roman" w:hAnsi="Times New Roman" w:cs="Times New Roman"/>
          <w:b/>
          <w:bCs/>
          <w:color w:val="000000"/>
          <w:sz w:val="28"/>
          <w:szCs w:val="28"/>
          <w:lang w:val="en-US" w:eastAsia="it-IT"/>
        </w:rPr>
        <w:t>heritage studies</w:t>
      </w:r>
      <w:r w:rsidRPr="00206F2D">
        <w:rPr>
          <w:rFonts w:ascii="Times New Roman" w:eastAsia="Times New Roman" w:hAnsi="Times New Roman" w:cs="Times New Roman"/>
          <w:b/>
          <w:bCs/>
          <w:color w:val="000000"/>
          <w:sz w:val="28"/>
          <w:szCs w:val="28"/>
          <w:lang w:val="en-US" w:eastAsia="it-IT"/>
        </w:rPr>
        <w:t xml:space="preserve"> </w:t>
      </w:r>
    </w:p>
    <w:p w:rsidR="00993DB7" w:rsidRPr="004D342D" w:rsidRDefault="00993DB7" w:rsidP="00712991">
      <w:pPr>
        <w:spacing w:after="0" w:line="240" w:lineRule="auto"/>
        <w:jc w:val="both"/>
        <w:rPr>
          <w:rFonts w:ascii="Times New Roman" w:eastAsia="Times New Roman" w:hAnsi="Times New Roman" w:cs="Times New Roman"/>
          <w:sz w:val="24"/>
          <w:szCs w:val="24"/>
          <w:lang w:val="en-US" w:eastAsia="it-IT"/>
        </w:rPr>
      </w:pPr>
    </w:p>
    <w:p w:rsidR="00993DB7" w:rsidRPr="004D342D" w:rsidRDefault="00993DB7" w:rsidP="00712991">
      <w:pPr>
        <w:spacing w:after="0" w:line="240" w:lineRule="auto"/>
        <w:jc w:val="both"/>
        <w:rPr>
          <w:rFonts w:ascii="Times New Roman" w:eastAsia="Times New Roman" w:hAnsi="Times New Roman" w:cs="Times New Roman"/>
          <w:sz w:val="24"/>
          <w:szCs w:val="24"/>
          <w:lang w:val="en-US" w:eastAsia="it-IT"/>
        </w:rPr>
      </w:pPr>
      <w:r w:rsidRPr="004D342D">
        <w:rPr>
          <w:rFonts w:ascii="Times New Roman" w:eastAsia="Times New Roman" w:hAnsi="Times New Roman" w:cs="Times New Roman"/>
          <w:color w:val="000000"/>
          <w:sz w:val="24"/>
          <w:szCs w:val="24"/>
          <w:lang w:val="en-US" w:eastAsia="it-IT"/>
        </w:rPr>
        <w:t>Omics approaches offer cutting-edge tools for the characterization of cultural heritage materials and the conservation biology of artworks.</w:t>
      </w:r>
    </w:p>
    <w:p w:rsidR="00993DB7" w:rsidRPr="00206F2D" w:rsidRDefault="00993DB7" w:rsidP="00712991">
      <w:pPr>
        <w:spacing w:after="0" w:line="240" w:lineRule="auto"/>
        <w:jc w:val="both"/>
        <w:rPr>
          <w:rFonts w:ascii="Times New Roman" w:eastAsia="Times New Roman" w:hAnsi="Times New Roman" w:cs="Times New Roman"/>
          <w:color w:val="000000"/>
          <w:sz w:val="24"/>
          <w:szCs w:val="24"/>
          <w:lang w:val="en-US" w:eastAsia="it-IT"/>
        </w:rPr>
      </w:pPr>
      <w:r w:rsidRPr="00206F2D">
        <w:rPr>
          <w:rFonts w:ascii="Times New Roman" w:eastAsia="Times New Roman" w:hAnsi="Times New Roman" w:cs="Times New Roman"/>
          <w:color w:val="000000"/>
          <w:sz w:val="24"/>
          <w:szCs w:val="24"/>
          <w:lang w:val="en-US" w:eastAsia="it-IT"/>
        </w:rPr>
        <w:t>C</w:t>
      </w:r>
      <w:r w:rsidRPr="004D342D">
        <w:rPr>
          <w:rFonts w:ascii="Times New Roman" w:eastAsia="Times New Roman" w:hAnsi="Times New Roman" w:cs="Times New Roman"/>
          <w:color w:val="000000"/>
          <w:sz w:val="24"/>
          <w:szCs w:val="24"/>
          <w:lang w:val="en-US" w:eastAsia="it-IT"/>
        </w:rPr>
        <w:t xml:space="preserve">ulture-independent methods derived from environmental genomics, assisted by high-throughput DNA sequencing, allow unprecedented yield and resolution in the identification and monitoring of microbial populations </w:t>
      </w:r>
      <w:r w:rsidRPr="00206F2D">
        <w:rPr>
          <w:rFonts w:ascii="Times New Roman" w:eastAsia="Times New Roman" w:hAnsi="Times New Roman" w:cs="Times New Roman"/>
          <w:color w:val="000000"/>
          <w:sz w:val="24"/>
          <w:szCs w:val="24"/>
          <w:lang w:val="en-US" w:eastAsia="it-IT"/>
        </w:rPr>
        <w:t xml:space="preserve">(fungi, bacteria and lichens) </w:t>
      </w:r>
      <w:r w:rsidRPr="004D342D">
        <w:rPr>
          <w:rFonts w:ascii="Times New Roman" w:eastAsia="Times New Roman" w:hAnsi="Times New Roman" w:cs="Times New Roman"/>
          <w:color w:val="000000"/>
          <w:sz w:val="24"/>
          <w:szCs w:val="24"/>
          <w:lang w:val="en-US" w:eastAsia="it-IT"/>
        </w:rPr>
        <w:t xml:space="preserve">involved in </w:t>
      </w:r>
      <w:proofErr w:type="spellStart"/>
      <w:r w:rsidRPr="004D342D">
        <w:rPr>
          <w:rFonts w:ascii="Times New Roman" w:eastAsia="Times New Roman" w:hAnsi="Times New Roman" w:cs="Times New Roman"/>
          <w:color w:val="000000"/>
          <w:sz w:val="24"/>
          <w:szCs w:val="24"/>
          <w:lang w:val="en-US" w:eastAsia="it-IT"/>
        </w:rPr>
        <w:t>biodeterioration</w:t>
      </w:r>
      <w:proofErr w:type="spellEnd"/>
      <w:r w:rsidRPr="004D342D">
        <w:rPr>
          <w:rFonts w:ascii="Times New Roman" w:eastAsia="Times New Roman" w:hAnsi="Times New Roman" w:cs="Times New Roman"/>
          <w:color w:val="000000"/>
          <w:sz w:val="24"/>
          <w:szCs w:val="24"/>
          <w:lang w:val="en-US" w:eastAsia="it-IT"/>
        </w:rPr>
        <w:t xml:space="preserve"> of works of art.</w:t>
      </w:r>
    </w:p>
    <w:p w:rsidR="00F90A80" w:rsidRPr="00993DB7" w:rsidRDefault="00993DB7" w:rsidP="00712991">
      <w:pPr>
        <w:jc w:val="both"/>
        <w:rPr>
          <w:lang w:val="en-US"/>
        </w:rPr>
      </w:pPr>
      <w:r w:rsidRPr="00206F2D">
        <w:rPr>
          <w:rFonts w:ascii="Times New Roman" w:eastAsia="Times New Roman" w:hAnsi="Times New Roman" w:cs="Times New Roman"/>
          <w:color w:val="000000"/>
          <w:sz w:val="24"/>
          <w:szCs w:val="24"/>
          <w:lang w:val="en-US" w:eastAsia="it-IT"/>
        </w:rPr>
        <w:t xml:space="preserve">The study of the microbial biodiversity associated with cultural heritage materials is of crucial interest to prevent their </w:t>
      </w:r>
      <w:proofErr w:type="spellStart"/>
      <w:r w:rsidRPr="00206F2D">
        <w:rPr>
          <w:rFonts w:ascii="Times New Roman" w:eastAsia="Times New Roman" w:hAnsi="Times New Roman" w:cs="Times New Roman"/>
          <w:color w:val="000000"/>
          <w:sz w:val="24"/>
          <w:szCs w:val="24"/>
          <w:lang w:val="en-US" w:eastAsia="it-IT"/>
        </w:rPr>
        <w:t>biodeterioration</w:t>
      </w:r>
      <w:proofErr w:type="spellEnd"/>
      <w:r w:rsidRPr="00206F2D">
        <w:rPr>
          <w:rFonts w:ascii="Times New Roman" w:eastAsia="Times New Roman" w:hAnsi="Times New Roman" w:cs="Times New Roman"/>
          <w:color w:val="000000"/>
          <w:sz w:val="24"/>
          <w:szCs w:val="24"/>
          <w:lang w:val="en-US" w:eastAsia="it-IT"/>
        </w:rPr>
        <w:t xml:space="preserve">. This session will focus on the use culture independent methods for the evaluation of the microbial biodiversity associated to cultural heritage materials by means DNA </w:t>
      </w:r>
      <w:proofErr w:type="spellStart"/>
      <w:r w:rsidRPr="00206F2D">
        <w:rPr>
          <w:rFonts w:ascii="Times New Roman" w:eastAsia="Times New Roman" w:hAnsi="Times New Roman" w:cs="Times New Roman"/>
          <w:color w:val="000000"/>
          <w:sz w:val="24"/>
          <w:szCs w:val="24"/>
          <w:lang w:val="en-US" w:eastAsia="it-IT"/>
        </w:rPr>
        <w:t>metabarcoding</w:t>
      </w:r>
      <w:proofErr w:type="spellEnd"/>
      <w:r w:rsidRPr="00206F2D">
        <w:rPr>
          <w:rFonts w:ascii="Times New Roman" w:eastAsia="Times New Roman" w:hAnsi="Times New Roman" w:cs="Times New Roman"/>
          <w:color w:val="000000"/>
          <w:sz w:val="24"/>
          <w:szCs w:val="24"/>
          <w:lang w:val="en-US" w:eastAsia="it-IT"/>
        </w:rPr>
        <w:t xml:space="preserve"> techniques (NGS- Next Generation Sequences). A case study will be display: the </w:t>
      </w:r>
      <w:proofErr w:type="spellStart"/>
      <w:r w:rsidRPr="00206F2D">
        <w:rPr>
          <w:rFonts w:ascii="Times New Roman" w:eastAsia="Times New Roman" w:hAnsi="Times New Roman" w:cs="Times New Roman"/>
          <w:color w:val="000000"/>
          <w:sz w:val="24"/>
          <w:szCs w:val="24"/>
          <w:lang w:val="en-US" w:eastAsia="it-IT"/>
        </w:rPr>
        <w:t>mycoflora</w:t>
      </w:r>
      <w:proofErr w:type="spellEnd"/>
      <w:r w:rsidRPr="00206F2D">
        <w:rPr>
          <w:rFonts w:ascii="Times New Roman" w:eastAsia="Times New Roman" w:hAnsi="Times New Roman" w:cs="Times New Roman"/>
          <w:color w:val="000000"/>
          <w:sz w:val="24"/>
          <w:szCs w:val="24"/>
          <w:lang w:val="en-US" w:eastAsia="it-IT"/>
        </w:rPr>
        <w:t xml:space="preserve"> associated to foxing spots on the </w:t>
      </w:r>
      <w:proofErr w:type="spellStart"/>
      <w:r w:rsidRPr="00206F2D">
        <w:rPr>
          <w:rFonts w:ascii="Times New Roman" w:eastAsia="Times New Roman" w:hAnsi="Times New Roman" w:cs="Times New Roman"/>
          <w:color w:val="000000"/>
          <w:sz w:val="24"/>
          <w:szCs w:val="24"/>
          <w:lang w:val="en-US" w:eastAsia="it-IT"/>
        </w:rPr>
        <w:t>Terraneo</w:t>
      </w:r>
      <w:proofErr w:type="spellEnd"/>
      <w:r w:rsidRPr="00206F2D">
        <w:rPr>
          <w:rFonts w:ascii="Times New Roman" w:eastAsia="Times New Roman" w:hAnsi="Times New Roman" w:cs="Times New Roman"/>
          <w:color w:val="000000"/>
          <w:sz w:val="24"/>
          <w:szCs w:val="24"/>
          <w:lang w:val="en-US" w:eastAsia="it-IT"/>
        </w:rPr>
        <w:t xml:space="preserve"> Herbarium (date late 1600). </w:t>
      </w:r>
      <w:r w:rsidRPr="004D342D">
        <w:rPr>
          <w:rFonts w:ascii="Times New Roman" w:eastAsia="Times New Roman" w:hAnsi="Times New Roman" w:cs="Times New Roman"/>
          <w:color w:val="000000"/>
          <w:sz w:val="24"/>
          <w:szCs w:val="24"/>
          <w:lang w:val="en-US" w:eastAsia="it-IT"/>
        </w:rPr>
        <w:t xml:space="preserve">Case studies presented will focus on the use of </w:t>
      </w:r>
      <w:proofErr w:type="spellStart"/>
      <w:r w:rsidRPr="004D342D">
        <w:rPr>
          <w:rFonts w:ascii="Times New Roman" w:eastAsia="Times New Roman" w:hAnsi="Times New Roman" w:cs="Times New Roman"/>
          <w:color w:val="000000"/>
          <w:sz w:val="24"/>
          <w:szCs w:val="24"/>
          <w:lang w:val="en-US" w:eastAsia="it-IT"/>
        </w:rPr>
        <w:t>metabarcoding</w:t>
      </w:r>
      <w:proofErr w:type="spellEnd"/>
      <w:r w:rsidRPr="004D342D">
        <w:rPr>
          <w:rFonts w:ascii="Times New Roman" w:eastAsia="Times New Roman" w:hAnsi="Times New Roman" w:cs="Times New Roman"/>
          <w:color w:val="000000"/>
          <w:sz w:val="24"/>
          <w:szCs w:val="24"/>
          <w:lang w:val="en-US" w:eastAsia="it-IT"/>
        </w:rPr>
        <w:t xml:space="preserve"> of fungal communities associated to foxing spots on ancient </w:t>
      </w:r>
      <w:proofErr w:type="spellStart"/>
      <w:r w:rsidRPr="004D342D">
        <w:rPr>
          <w:rFonts w:ascii="Times New Roman" w:eastAsia="Times New Roman" w:hAnsi="Times New Roman" w:cs="Times New Roman"/>
          <w:color w:val="000000"/>
          <w:sz w:val="24"/>
          <w:szCs w:val="24"/>
          <w:lang w:val="en-US" w:eastAsia="it-IT"/>
        </w:rPr>
        <w:t>pape</w:t>
      </w:r>
      <w:bookmarkEnd w:id="0"/>
      <w:proofErr w:type="spellEnd"/>
    </w:p>
    <w:sectPr w:rsidR="00F90A80" w:rsidRPr="00993DB7" w:rsidSect="00CD4DE6">
      <w:type w:val="continuous"/>
      <w:pgSz w:w="11906" w:h="16838"/>
      <w:pgMar w:top="1418" w:right="1151" w:bottom="1134" w:left="1985" w:header="720" w:footer="720" w:gutter="0"/>
      <w:lnNumType w:countBy="1" w:restart="continuous"/>
      <w:cols w:space="708"/>
      <w:bidi/>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283"/>
  <w:drawingGridHorizontalSpacing w:val="20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B7"/>
    <w:rsid w:val="00712991"/>
    <w:rsid w:val="00993DB7"/>
    <w:rsid w:val="00CD1411"/>
    <w:rsid w:val="00CD4DE6"/>
    <w:rsid w:val="00F90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C11E-D705-40F5-A5E8-B206036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99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Pessione</dc:creator>
  <cp:keywords/>
  <dc:description/>
  <cp:lastModifiedBy>Enrica Pessione</cp:lastModifiedBy>
  <cp:revision>3</cp:revision>
  <dcterms:created xsi:type="dcterms:W3CDTF">2019-01-30T12:58:00Z</dcterms:created>
  <dcterms:modified xsi:type="dcterms:W3CDTF">2019-01-30T13:02:00Z</dcterms:modified>
</cp:coreProperties>
</file>